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75EA" w14:textId="77777777" w:rsidR="00764FF7" w:rsidRDefault="003D4C3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Špeciálne upravené vozidlá Škoda </w:t>
      </w:r>
      <w:proofErr w:type="spellStart"/>
      <w:r>
        <w:rPr>
          <w:b/>
          <w:bCs/>
          <w:sz w:val="32"/>
          <w:szCs w:val="32"/>
        </w:rPr>
        <w:t>Kodiaq</w:t>
      </w:r>
      <w:proofErr w:type="spellEnd"/>
      <w:r>
        <w:rPr>
          <w:b/>
          <w:bCs/>
          <w:sz w:val="32"/>
          <w:szCs w:val="32"/>
        </w:rPr>
        <w:t xml:space="preserve"> budú zachraňovať životy v službách polície </w:t>
      </w:r>
    </w:p>
    <w:p w14:paraId="5E76609B" w14:textId="77777777" w:rsidR="00764FF7" w:rsidRDefault="00764FF7">
      <w:pPr>
        <w:jc w:val="both"/>
        <w:rPr>
          <w:rStyle w:val="iadneA"/>
          <w:b/>
          <w:bCs/>
          <w:sz w:val="32"/>
          <w:szCs w:val="32"/>
        </w:rPr>
      </w:pPr>
    </w:p>
    <w:p w14:paraId="7E6508E6" w14:textId="77777777" w:rsidR="00764FF7" w:rsidRDefault="003D4C3E">
      <w:pPr>
        <w:jc w:val="both"/>
        <w:rPr>
          <w:b/>
          <w:bCs/>
          <w:sz w:val="32"/>
          <w:szCs w:val="32"/>
        </w:rPr>
      </w:pPr>
      <w:r>
        <w:rPr>
          <w:b/>
          <w:bCs/>
        </w:rPr>
        <w:t xml:space="preserve">› Dvojica modelov Škoda </w:t>
      </w:r>
      <w:proofErr w:type="spellStart"/>
      <w:r>
        <w:rPr>
          <w:b/>
          <w:bCs/>
        </w:rPr>
        <w:t>Kodiaq</w:t>
      </w:r>
      <w:proofErr w:type="spellEnd"/>
      <w:r>
        <w:rPr>
          <w:b/>
          <w:bCs/>
        </w:rPr>
        <w:t xml:space="preserve"> 2.0 TSI 4x4 DSG </w:t>
      </w:r>
      <w:proofErr w:type="spellStart"/>
      <w:r>
        <w:rPr>
          <w:b/>
          <w:bCs/>
        </w:rPr>
        <w:t>Style</w:t>
      </w:r>
      <w:proofErr w:type="spellEnd"/>
      <w:r>
        <w:rPr>
          <w:b/>
          <w:bCs/>
        </w:rPr>
        <w:t xml:space="preserve"> bude slúžiť a pomáhať pri zvládaní krízových situácií</w:t>
      </w:r>
    </w:p>
    <w:p w14:paraId="051363A8" w14:textId="77777777" w:rsidR="00764FF7" w:rsidRDefault="003D4C3E">
      <w:pPr>
        <w:jc w:val="both"/>
        <w:rPr>
          <w:b/>
          <w:bCs/>
          <w:sz w:val="32"/>
          <w:szCs w:val="32"/>
        </w:rPr>
      </w:pPr>
      <w:r>
        <w:rPr>
          <w:b/>
          <w:bCs/>
        </w:rPr>
        <w:t xml:space="preserve">› </w:t>
      </w:r>
      <w:r>
        <w:rPr>
          <w:rStyle w:val="Vrazn"/>
        </w:rPr>
        <w:t>Vozidlá majú špeciálnu výbavu, ktorá vznikla na základe skú</w:t>
      </w:r>
      <w:r>
        <w:rPr>
          <w:rStyle w:val="Vrazn"/>
        </w:rPr>
        <w:t>seností a praxe príslušníkov policajného zboru</w:t>
      </w:r>
    </w:p>
    <w:p w14:paraId="53E2E07F" w14:textId="77777777" w:rsidR="00764FF7" w:rsidRDefault="0076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25"/>
        </w:tabs>
        <w:rPr>
          <w:rStyle w:val="iadneA"/>
          <w:b/>
          <w:bCs/>
        </w:rPr>
      </w:pPr>
    </w:p>
    <w:p w14:paraId="41CB5861" w14:textId="77777777" w:rsidR="00764FF7" w:rsidRDefault="003D4C3E">
      <w:pPr>
        <w:rPr>
          <w:rStyle w:val="Vrazn"/>
        </w:rPr>
      </w:pPr>
      <w:r>
        <w:rPr>
          <w:rStyle w:val="iadneA"/>
        </w:rPr>
        <w:t>Bratislava, 4. apríla 2023</w:t>
      </w:r>
      <w:r>
        <w:rPr>
          <w:rStyle w:val="Vrazn"/>
        </w:rPr>
        <w:t xml:space="preserve"> – Policajnému zboru Slovenskej republiky najnovšie slúžia dve špeciálne upravené vozidlá Škoda </w:t>
      </w:r>
      <w:proofErr w:type="spellStart"/>
      <w:r>
        <w:rPr>
          <w:rStyle w:val="Vrazn"/>
        </w:rPr>
        <w:t>Kodiaq</w:t>
      </w:r>
      <w:proofErr w:type="spellEnd"/>
      <w:r>
        <w:rPr>
          <w:rStyle w:val="Vrazn"/>
        </w:rPr>
        <w:t xml:space="preserve"> 2.0 TSI 4x4 DSG </w:t>
      </w:r>
      <w:proofErr w:type="spellStart"/>
      <w:r>
        <w:rPr>
          <w:rStyle w:val="Vrazn"/>
        </w:rPr>
        <w:t>Style</w:t>
      </w:r>
      <w:proofErr w:type="spellEnd"/>
      <w:r>
        <w:rPr>
          <w:rStyle w:val="Vrazn"/>
        </w:rPr>
        <w:t>, ktoré budú pomáhať príslušníkom zboru zachraňovať životy</w:t>
      </w:r>
      <w:r>
        <w:rPr>
          <w:rStyle w:val="Vrazn"/>
        </w:rPr>
        <w:t xml:space="preserve"> pri mimoriadnych situáciách. Výbava týchto vozidiel bola špeciálne koncipovaná tak, aby plnila potreby na základe praktických skúseností príslušníkov polície. Vozidlá Škoda </w:t>
      </w:r>
      <w:proofErr w:type="spellStart"/>
      <w:r>
        <w:rPr>
          <w:rStyle w:val="Vrazn"/>
        </w:rPr>
        <w:t>Kodiaq</w:t>
      </w:r>
      <w:proofErr w:type="spellEnd"/>
      <w:r>
        <w:rPr>
          <w:rStyle w:val="Vrazn"/>
        </w:rPr>
        <w:t xml:space="preserve"> budú jazdiť v bratislavskom a nitrianskom regióne, pričom v budúcnosti by m</w:t>
      </w:r>
      <w:r>
        <w:rPr>
          <w:rStyle w:val="Vrazn"/>
        </w:rPr>
        <w:t>ohli takto upravené vozidlá slúžiť v každom kraji.</w:t>
      </w:r>
    </w:p>
    <w:p w14:paraId="310A5ED3" w14:textId="77777777" w:rsidR="00764FF7" w:rsidRDefault="00764FF7">
      <w:pPr>
        <w:rPr>
          <w:rStyle w:val="iadneA"/>
          <w:b/>
          <w:bCs/>
        </w:rPr>
      </w:pPr>
    </w:p>
    <w:p w14:paraId="75E49978" w14:textId="77777777" w:rsidR="00764FF7" w:rsidRDefault="003D4C3E">
      <w:pPr>
        <w:rPr>
          <w:i/>
          <w:iCs/>
        </w:rPr>
      </w:pPr>
      <w:r>
        <w:rPr>
          <w:rStyle w:val="iadneA"/>
        </w:rPr>
        <w:t xml:space="preserve">Prvé dva automobily boli odovzdané do služby v rámci </w:t>
      </w:r>
      <w:r>
        <w:t xml:space="preserve">pilotného projektu, ktorého zámerom je, aby tieto vozidlá spolu s vyškolenou a skúsenou posádkou policajtov boli využívané počas hliadkovej služby pri </w:t>
      </w:r>
      <w:r>
        <w:t xml:space="preserve">preverovaní náročnejších udalostí, kde takéto vozidlo a posádka dokáže poskytnúť potrebnú podporu klasickej policajnej hliadke. Autá budú tiež používané napríklad pri pátracích akciách, ale aj pri vzniku a prvotnom riešení mimoriadnych udalostí či </w:t>
      </w:r>
      <w:proofErr w:type="spellStart"/>
      <w:r>
        <w:t>vysokopr</w:t>
      </w:r>
      <w:r>
        <w:t>ofilových</w:t>
      </w:r>
      <w:proofErr w:type="spellEnd"/>
      <w:r>
        <w:t xml:space="preserve"> incidentov, ako je napr. útok aktívneho strelca na mäkké ciele, ale aj pri komplikovaných dopravných nehodách s vyšším počtom zranených, živelných pohromách, haváriách či požiaroch.</w:t>
      </w:r>
    </w:p>
    <w:p w14:paraId="5DE0821C" w14:textId="77777777" w:rsidR="00764FF7" w:rsidRDefault="00764FF7">
      <w:pPr>
        <w:rPr>
          <w:rStyle w:val="iadneA"/>
        </w:rPr>
      </w:pPr>
    </w:p>
    <w:p w14:paraId="08EC4D35" w14:textId="77777777" w:rsidR="00764FF7" w:rsidRDefault="003D4C3E">
      <w:pPr>
        <w:rPr>
          <w:rStyle w:val="iadneA"/>
        </w:rPr>
      </w:pPr>
      <w:r>
        <w:rPr>
          <w:rStyle w:val="iadneA"/>
        </w:rPr>
        <w:t xml:space="preserve">Automobily Škoda </w:t>
      </w:r>
      <w:proofErr w:type="spellStart"/>
      <w:r>
        <w:rPr>
          <w:rStyle w:val="iadneA"/>
        </w:rPr>
        <w:t>Kodiaq</w:t>
      </w:r>
      <w:proofErr w:type="spellEnd"/>
      <w:r>
        <w:rPr>
          <w:rStyle w:val="iadneA"/>
        </w:rPr>
        <w:t xml:space="preserve"> 2.0 TSI 4x4 DSG </w:t>
      </w:r>
      <w:proofErr w:type="spellStart"/>
      <w:r>
        <w:rPr>
          <w:rStyle w:val="iadneA"/>
        </w:rPr>
        <w:t>Style</w:t>
      </w:r>
      <w:proofErr w:type="spellEnd"/>
      <w:r>
        <w:rPr>
          <w:rStyle w:val="iadneA"/>
        </w:rPr>
        <w:t xml:space="preserve"> boli špeciálne up</w:t>
      </w:r>
      <w:r>
        <w:rPr>
          <w:rStyle w:val="iadneA"/>
        </w:rPr>
        <w:t>ravené a </w:t>
      </w:r>
      <w:proofErr w:type="spellStart"/>
      <w:r>
        <w:rPr>
          <w:rStyle w:val="iadneA"/>
        </w:rPr>
        <w:t>dovybavené</w:t>
      </w:r>
      <w:proofErr w:type="spellEnd"/>
      <w:r>
        <w:rPr>
          <w:rStyle w:val="iadneA"/>
        </w:rPr>
        <w:t xml:space="preserve"> na základe požiadaviek a skúseností príslušníkov policajného zboru z praxe. </w:t>
      </w:r>
    </w:p>
    <w:p w14:paraId="6C5AA658" w14:textId="77777777" w:rsidR="00764FF7" w:rsidRDefault="00764FF7">
      <w:pPr>
        <w:rPr>
          <w:rStyle w:val="iadneA"/>
        </w:rPr>
      </w:pPr>
    </w:p>
    <w:p w14:paraId="6CAC71BB" w14:textId="77777777" w:rsidR="00764FF7" w:rsidRDefault="003D4C3E">
      <w:pPr>
        <w:pStyle w:val="Nadpismaly"/>
        <w:rPr>
          <w:b w:val="0"/>
          <w:bCs w:val="0"/>
        </w:rPr>
      </w:pPr>
      <w:r>
        <w:rPr>
          <w:b w:val="0"/>
          <w:bCs w:val="0"/>
        </w:rPr>
        <w:t>„</w:t>
      </w:r>
      <w:r>
        <w:rPr>
          <w:b w:val="0"/>
          <w:bCs w:val="0"/>
          <w:i/>
          <w:iCs/>
        </w:rPr>
        <w:t>Sme radi, že práve naše vozidlá boli vybrané na základe verejnej súťaže. Stojíme si totiž za tým, že vozidlá značky Škoda dokážu plniť nielen každodenné potr</w:t>
      </w:r>
      <w:r>
        <w:rPr>
          <w:b w:val="0"/>
          <w:bCs w:val="0"/>
          <w:i/>
          <w:iCs/>
        </w:rPr>
        <w:t xml:space="preserve">eby našich zákazníkov, ale aj takéto špecifické a náročné úlohy pri krízových situáciách, aké nepochybne čakajú na tieto špeciálne upravené modely </w:t>
      </w:r>
      <w:proofErr w:type="spellStart"/>
      <w:r>
        <w:rPr>
          <w:b w:val="0"/>
          <w:bCs w:val="0"/>
          <w:i/>
          <w:iCs/>
        </w:rPr>
        <w:t>Kodiaq</w:t>
      </w:r>
      <w:proofErr w:type="spellEnd"/>
      <w:r>
        <w:rPr>
          <w:b w:val="0"/>
          <w:bCs w:val="0"/>
          <w:i/>
          <w:iCs/>
        </w:rPr>
        <w:t>,“</w:t>
      </w:r>
      <w:r>
        <w:rPr>
          <w:b w:val="0"/>
          <w:bCs w:val="0"/>
        </w:rPr>
        <w:t xml:space="preserve"> uviedol Jaroslav </w:t>
      </w:r>
      <w:proofErr w:type="spellStart"/>
      <w:r>
        <w:rPr>
          <w:b w:val="0"/>
          <w:bCs w:val="0"/>
        </w:rPr>
        <w:t>Hercog</w:t>
      </w:r>
      <w:proofErr w:type="spellEnd"/>
      <w:r>
        <w:rPr>
          <w:b w:val="0"/>
          <w:bCs w:val="0"/>
        </w:rPr>
        <w:t>, riaditeľ spoločnosti ŠKODA AUTO Slovensko.</w:t>
      </w:r>
    </w:p>
    <w:p w14:paraId="2E940533" w14:textId="77777777" w:rsidR="00764FF7" w:rsidRDefault="00764FF7">
      <w:pPr>
        <w:pStyle w:val="Nadpismaly"/>
        <w:rPr>
          <w:rStyle w:val="iadneA"/>
          <w:b w:val="0"/>
          <w:bCs w:val="0"/>
        </w:rPr>
      </w:pPr>
    </w:p>
    <w:p w14:paraId="7F984F83" w14:textId="0796E86D" w:rsidR="00764FF7" w:rsidRDefault="003D4C3E">
      <w:pPr>
        <w:pStyle w:val="Nadpismaly"/>
        <w:rPr>
          <w:b w:val="0"/>
          <w:bCs w:val="0"/>
        </w:rPr>
      </w:pPr>
      <w:r>
        <w:rPr>
          <w:b w:val="0"/>
          <w:bCs w:val="0"/>
        </w:rPr>
        <w:t>Polícia zatiaľ disponuje dvojic</w:t>
      </w:r>
      <w:r>
        <w:rPr>
          <w:b w:val="0"/>
          <w:bCs w:val="0"/>
        </w:rPr>
        <w:t>ou takýchto vozidiel, ktoré budú slúžiť v bratislavskom a nitrianskom kraji, pričom v budúcnosti by mohli takto upravené vozidlá slúžiť v každom regióne. Súčasťou ich výbavy sú prostriedky balistickej ochrany zasahujúcich policajtov (balistický štít, vesty</w:t>
      </w:r>
      <w:r>
        <w:rPr>
          <w:b w:val="0"/>
          <w:bCs w:val="0"/>
        </w:rPr>
        <w:t xml:space="preserve">, prilby), prostriedky na prekonanie prekážok a zámkov (rebrík, baranidlo, </w:t>
      </w:r>
      <w:proofErr w:type="spellStart"/>
      <w:r>
        <w:rPr>
          <w:b w:val="0"/>
          <w:bCs w:val="0"/>
        </w:rPr>
        <w:t>sada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páčidiel</w:t>
      </w:r>
      <w:proofErr w:type="spellEnd"/>
      <w:r>
        <w:rPr>
          <w:b w:val="0"/>
          <w:bCs w:val="0"/>
        </w:rPr>
        <w:t>), telekomunikačné sady, zastavovací pás, špeciálne vyhľadávacie svetlo a svietidlo na osvietenie väčšieho priestoru, ako aj prostriedky slúžiace na usmerňovanie cestne</w:t>
      </w:r>
      <w:r>
        <w:rPr>
          <w:b w:val="0"/>
          <w:bCs w:val="0"/>
        </w:rPr>
        <w:t xml:space="preserve">j premávky či prostriedky predlekárskej pomoci (medi-vak, defibrilátor, </w:t>
      </w:r>
      <w:proofErr w:type="spellStart"/>
      <w:r>
        <w:rPr>
          <w:b w:val="0"/>
          <w:bCs w:val="0"/>
        </w:rPr>
        <w:t>triážna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sada</w:t>
      </w:r>
      <w:proofErr w:type="spellEnd"/>
      <w:r>
        <w:rPr>
          <w:b w:val="0"/>
          <w:bCs w:val="0"/>
        </w:rPr>
        <w:t xml:space="preserve">, hasiaci prístroj </w:t>
      </w:r>
      <w:r>
        <w:rPr>
          <w:b w:val="0"/>
          <w:bCs w:val="0"/>
        </w:rPr>
        <w:t xml:space="preserve">a </w:t>
      </w:r>
      <w:r>
        <w:rPr>
          <w:b w:val="0"/>
          <w:bCs w:val="0"/>
        </w:rPr>
        <w:t xml:space="preserve">pod.) </w:t>
      </w:r>
    </w:p>
    <w:p w14:paraId="112F5A91" w14:textId="77777777" w:rsidR="00764FF7" w:rsidRDefault="003D4C3E">
      <w:pPr>
        <w:pStyle w:val="Nadpismaly"/>
        <w:rPr>
          <w:b w:val="0"/>
          <w:bCs w:val="0"/>
        </w:rPr>
      </w:pPr>
      <w:r>
        <w:rPr>
          <w:b w:val="0"/>
          <w:bCs w:val="0"/>
        </w:rPr>
        <w:lastRenderedPageBreak/>
        <w:t>Vozidlá sú už vo farbách nového dizajnu vozidiel policajného zboru. Špeciálne úprava auta spočíva najmä vo vybudovaní zástavby a výsuvného systé</w:t>
      </w:r>
      <w:r>
        <w:rPr>
          <w:b w:val="0"/>
          <w:bCs w:val="0"/>
        </w:rPr>
        <w:t>mu z batožinového priestoru, opatreného množstvom profesionálneho vybavenia.</w:t>
      </w:r>
    </w:p>
    <w:p w14:paraId="60B21775" w14:textId="77777777" w:rsidR="00764FF7" w:rsidRDefault="00764FF7">
      <w:pPr>
        <w:pStyle w:val="Nadpismaly"/>
        <w:rPr>
          <w:rStyle w:val="iadneA"/>
          <w:b w:val="0"/>
          <w:bCs w:val="0"/>
        </w:rPr>
      </w:pPr>
    </w:p>
    <w:p w14:paraId="2B3AD8D8" w14:textId="38E009F0" w:rsidR="00764FF7" w:rsidRDefault="003D4C3E">
      <w:pPr>
        <w:pStyle w:val="Nadpismaly"/>
        <w:rPr>
          <w:b w:val="0"/>
          <w:bCs w:val="0"/>
        </w:rPr>
      </w:pPr>
      <w:r>
        <w:rPr>
          <w:b w:val="0"/>
          <w:bCs w:val="0"/>
        </w:rPr>
        <w:t>Ministerstvo po pilotnej fáze počíta s rozšírením počtu takýchto vozidiel a ich nasadení do výkonu služby, čím sa policajný zbor snaží zabezpečiť zvýšenie ochrany a bezpečnosti o</w:t>
      </w:r>
      <w:r>
        <w:rPr>
          <w:b w:val="0"/>
          <w:bCs w:val="0"/>
        </w:rPr>
        <w:t>bčanov pri rôznych situáciách a udalostiach.</w:t>
      </w:r>
      <w:r>
        <w:rPr>
          <w:b w:val="0"/>
          <w:bCs w:val="0"/>
          <w:i/>
          <w:iCs/>
        </w:rPr>
        <w:t xml:space="preserve"> „Naša spoločnosť je dlhoročným dodávateľom vozidiel pre policajné zložky. </w:t>
      </w:r>
      <w:r>
        <w:rPr>
          <w:b w:val="0"/>
          <w:bCs w:val="0"/>
          <w:i/>
          <w:iCs/>
        </w:rPr>
        <w:t>Veríme, že aj novo dodané</w:t>
      </w:r>
      <w:r>
        <w:rPr>
          <w:b w:val="0"/>
          <w:bCs w:val="0"/>
          <w:i/>
          <w:iCs/>
        </w:rPr>
        <w:t xml:space="preserve"> autá budú užitočné a pomôžu pri zachraňovaní životov, ako aj tomu, že vďaka výkonnému motoru, pohonu oboch náprav či vy</w:t>
      </w:r>
      <w:r>
        <w:rPr>
          <w:b w:val="0"/>
          <w:bCs w:val="0"/>
          <w:i/>
          <w:iCs/>
        </w:rPr>
        <w:t>ššej svetlej výške budú polícii nápomocné pri zvládaní náročných situácií v akýchkoľvek podmienkach,“</w:t>
      </w:r>
      <w:r>
        <w:rPr>
          <w:b w:val="0"/>
          <w:bCs w:val="0"/>
        </w:rPr>
        <w:t xml:space="preserve"> uzavrel Jaroslav </w:t>
      </w:r>
      <w:proofErr w:type="spellStart"/>
      <w:r>
        <w:rPr>
          <w:b w:val="0"/>
          <w:bCs w:val="0"/>
        </w:rPr>
        <w:t>Hercog</w:t>
      </w:r>
      <w:proofErr w:type="spellEnd"/>
      <w:r>
        <w:rPr>
          <w:b w:val="0"/>
          <w:bCs w:val="0"/>
        </w:rPr>
        <w:t xml:space="preserve"> zo spoločnosti ŠKODA AUTO Slovensko.</w:t>
      </w:r>
    </w:p>
    <w:p w14:paraId="0B9D9B2E" w14:textId="77777777" w:rsidR="00764FF7" w:rsidRDefault="00764FF7">
      <w:pPr>
        <w:ind w:left="0"/>
        <w:rPr>
          <w:rStyle w:val="iadneA"/>
        </w:rPr>
      </w:pPr>
    </w:p>
    <w:p w14:paraId="3856FCD7" w14:textId="77777777" w:rsidR="00764FF7" w:rsidRDefault="00764FF7">
      <w:pPr>
        <w:rPr>
          <w:rStyle w:val="iadneA"/>
        </w:rPr>
      </w:pPr>
    </w:p>
    <w:p w14:paraId="7C2EA8BB" w14:textId="77777777" w:rsidR="00764FF7" w:rsidRDefault="003D4C3E">
      <w:pPr>
        <w:rPr>
          <w:rStyle w:val="Vrazn"/>
        </w:rPr>
      </w:pPr>
      <w:r>
        <w:rPr>
          <w:rStyle w:val="Vrazn"/>
        </w:rPr>
        <w:t>Pre ďalšie informácie, prosím, kontaktujte:</w:t>
      </w:r>
    </w:p>
    <w:p w14:paraId="250C0BF7" w14:textId="77777777" w:rsidR="00764FF7" w:rsidRDefault="003D4C3E">
      <w:pPr>
        <w:rPr>
          <w:rStyle w:val="iadneA"/>
        </w:rPr>
      </w:pPr>
      <w:bookmarkStart w:id="0" w:name="_Hlk124154707"/>
      <w:r>
        <w:rPr>
          <w:b/>
          <w:bCs/>
        </w:rPr>
        <w:t>Zuzana Kubíková</w:t>
      </w:r>
      <w:r>
        <w:t>, PR manager ŠKODA AUTO Slovensk</w:t>
      </w:r>
      <w:r>
        <w:t xml:space="preserve">o </w:t>
      </w:r>
      <w:proofErr w:type="spellStart"/>
      <w:r>
        <w:t>s.r.o</w:t>
      </w:r>
      <w:proofErr w:type="spellEnd"/>
      <w:r>
        <w:t>.</w:t>
      </w:r>
    </w:p>
    <w:p w14:paraId="5A33CA49" w14:textId="77777777" w:rsidR="00764FF7" w:rsidRDefault="003D4C3E">
      <w:pPr>
        <w:jc w:val="both"/>
      </w:pPr>
      <w:r>
        <w:t>M: +421 904 701 339</w:t>
      </w:r>
    </w:p>
    <w:p w14:paraId="0FE43E45" w14:textId="77777777" w:rsidR="00764FF7" w:rsidRDefault="003D4C3E">
      <w:pPr>
        <w:jc w:val="both"/>
        <w:rPr>
          <w:rStyle w:val="Hyperlink0"/>
        </w:rPr>
      </w:pPr>
      <w:r>
        <w:rPr>
          <w:rFonts w:ascii="SKODA Next" w:eastAsia="SKODA Next" w:hAnsi="SKODA Next" w:cs="SKODA Next"/>
          <w:noProof/>
        </w:rPr>
        <w:drawing>
          <wp:anchor distT="35877" distB="35877" distL="35877" distR="35877" simplePos="0" relativeHeight="251659264" behindDoc="0" locked="0" layoutInCell="1" allowOverlap="1" wp14:anchorId="420BCE11" wp14:editId="59ED2F5A">
            <wp:simplePos x="0" y="0"/>
            <wp:positionH relativeFrom="column">
              <wp:posOffset>374650</wp:posOffset>
            </wp:positionH>
            <wp:positionV relativeFrom="line">
              <wp:posOffset>227965</wp:posOffset>
            </wp:positionV>
            <wp:extent cx="2847975" cy="676910"/>
            <wp:effectExtent l="0" t="0" r="0" b="0"/>
            <wp:wrapTopAndBottom distT="35877" distB="35877"/>
            <wp:docPr id="1073741828" name="officeArt object" descr="Obráz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brázok" descr="Obrázo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676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hyperlink r:id="rId7" w:history="1">
        <w:r>
          <w:rPr>
            <w:rStyle w:val="Hyperlink0"/>
          </w:rPr>
          <w:t>zuzana.kubikova2@skoda-auto.sk</w:t>
        </w:r>
      </w:hyperlink>
      <w:r>
        <w:rPr>
          <w:rStyle w:val="Hyperlink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1251"/>
        <w:gridCol w:w="1009"/>
        <w:gridCol w:w="1251"/>
      </w:tblGrid>
      <w:tr w:rsidR="003D4C3E" w:rsidRPr="0086120A" w14:paraId="65E75291" w14:textId="77777777" w:rsidTr="00613065">
        <w:trPr>
          <w:trHeight w:val="216"/>
        </w:trPr>
        <w:tc>
          <w:tcPr>
            <w:tcW w:w="607" w:type="dxa"/>
            <w:vAlign w:val="center"/>
          </w:tcPr>
          <w:p w14:paraId="208F10B0" w14:textId="4024ADB5" w:rsidR="003D4C3E" w:rsidRPr="0086120A" w:rsidRDefault="003D4C3E" w:rsidP="00613065">
            <w:pPr>
              <w:jc w:val="both"/>
              <w:rPr>
                <w:color w:val="4BA82E"/>
                <w:u w:val="single"/>
              </w:rPr>
            </w:pPr>
            <w:r w:rsidRPr="0086120A">
              <w:rPr>
                <w:noProof/>
              </w:rPr>
              <w:drawing>
                <wp:inline distT="0" distB="0" distL="0" distR="0" wp14:anchorId="1DF77550" wp14:editId="4BACD2ED">
                  <wp:extent cx="180975" cy="180975"/>
                  <wp:effectExtent l="0" t="0" r="9525" b="9525"/>
                  <wp:docPr id="2" name="Obrázok 2" descr="Výsledek obrázku pro twitter facebook instagram 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 descr="Výsledek obrázku pro twitter facebook instagra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vAlign w:val="center"/>
          </w:tcPr>
          <w:p w14:paraId="2B7FEB82" w14:textId="77777777" w:rsidR="003D4C3E" w:rsidRPr="0086120A" w:rsidRDefault="003D4C3E" w:rsidP="00613065">
            <w:pPr>
              <w:ind w:left="0"/>
              <w:jc w:val="both"/>
              <w:rPr>
                <w:color w:val="4BA82E"/>
                <w:u w:val="single"/>
              </w:rPr>
            </w:pPr>
            <w:hyperlink r:id="rId10" w:history="1">
              <w:r w:rsidRPr="0086120A">
                <w:rPr>
                  <w:color w:val="4BA82E"/>
                  <w:u w:val="single"/>
                </w:rPr>
                <w:t>/</w:t>
              </w:r>
              <w:proofErr w:type="spellStart"/>
              <w:r w:rsidRPr="0086120A">
                <w:rPr>
                  <w:color w:val="4BA82E"/>
                  <w:u w:val="single"/>
                </w:rPr>
                <w:t>SkodaAutoSK</w:t>
              </w:r>
              <w:proofErr w:type="spellEnd"/>
            </w:hyperlink>
          </w:p>
        </w:tc>
        <w:tc>
          <w:tcPr>
            <w:tcW w:w="607" w:type="dxa"/>
            <w:vAlign w:val="center"/>
          </w:tcPr>
          <w:p w14:paraId="657A9D36" w14:textId="7CD06AB6" w:rsidR="003D4C3E" w:rsidRPr="0086120A" w:rsidRDefault="003D4C3E" w:rsidP="00613065">
            <w:pPr>
              <w:jc w:val="both"/>
              <w:rPr>
                <w:color w:val="4BA82E"/>
                <w:u w:val="single"/>
              </w:rPr>
            </w:pPr>
            <w:r w:rsidRPr="0086120A">
              <w:rPr>
                <w:noProof/>
              </w:rPr>
              <w:drawing>
                <wp:inline distT="0" distB="0" distL="0" distR="0" wp14:anchorId="395C2F4B" wp14:editId="70F8332E">
                  <wp:extent cx="180975" cy="180975"/>
                  <wp:effectExtent l="0" t="0" r="9525" b="9525"/>
                  <wp:docPr id="1" name="Obrázok 1" descr="Výsledek obrázku pro twitter facebook instagram log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 descr="Výsledek obrázku pro twitter facebook instagra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vAlign w:val="center"/>
          </w:tcPr>
          <w:p w14:paraId="2BEE094B" w14:textId="77777777" w:rsidR="003D4C3E" w:rsidRPr="0086120A" w:rsidRDefault="003D4C3E" w:rsidP="00613065">
            <w:pPr>
              <w:ind w:left="0"/>
              <w:jc w:val="both"/>
              <w:rPr>
                <w:color w:val="4BA82E"/>
                <w:u w:val="single"/>
              </w:rPr>
            </w:pPr>
            <w:r w:rsidRPr="0086120A">
              <w:t>/</w:t>
            </w:r>
            <w:proofErr w:type="spellStart"/>
            <w:r w:rsidRPr="0086120A">
              <w:fldChar w:fldCharType="begin"/>
            </w:r>
            <w:r w:rsidRPr="0086120A">
              <w:instrText>HYPERLINK "http://www.instagram.com/SkodaAutoSK"</w:instrText>
            </w:r>
            <w:r w:rsidRPr="0086120A">
              <w:fldChar w:fldCharType="separate"/>
            </w:r>
            <w:r w:rsidRPr="0086120A">
              <w:rPr>
                <w:color w:val="4BA82E"/>
                <w:u w:val="single"/>
              </w:rPr>
              <w:t>SkodaAutoSK</w:t>
            </w:r>
            <w:proofErr w:type="spellEnd"/>
            <w:r w:rsidRPr="0086120A">
              <w:fldChar w:fldCharType="end"/>
            </w:r>
          </w:p>
        </w:tc>
      </w:tr>
    </w:tbl>
    <w:p w14:paraId="61518238" w14:textId="77777777" w:rsidR="00764FF7" w:rsidRDefault="00764FF7">
      <w:pPr>
        <w:widowControl w:val="0"/>
        <w:spacing w:line="240" w:lineRule="auto"/>
        <w:ind w:left="0"/>
        <w:jc w:val="both"/>
        <w:rPr>
          <w:rStyle w:val="Hyperlink0"/>
        </w:rPr>
      </w:pPr>
    </w:p>
    <w:bookmarkEnd w:id="0"/>
    <w:p w14:paraId="0EFD8573" w14:textId="77777777" w:rsidR="00764FF7" w:rsidRDefault="00764FF7">
      <w:pPr>
        <w:pStyle w:val="Nadpis2new"/>
        <w:rPr>
          <w:rStyle w:val="iadne"/>
          <w:rFonts w:ascii="SKODA Next" w:eastAsia="SKODA Next" w:hAnsi="SKODA Next" w:cs="SKODA Next"/>
          <w:b/>
          <w:bCs/>
          <w:sz w:val="20"/>
          <w:szCs w:val="20"/>
        </w:rPr>
      </w:pPr>
    </w:p>
    <w:p w14:paraId="2EF53DDB" w14:textId="119F1F28" w:rsidR="00764FF7" w:rsidRDefault="003D4C3E">
      <w:pPr>
        <w:pStyle w:val="Nadpis2new"/>
        <w:rPr>
          <w:rStyle w:val="iadne"/>
          <w:rFonts w:ascii="SKODA Next" w:eastAsia="SKODA Next" w:hAnsi="SKODA Next" w:cs="SKODA Next"/>
          <w:b/>
          <w:bCs/>
          <w:sz w:val="20"/>
          <w:szCs w:val="20"/>
        </w:rPr>
      </w:pPr>
      <w:r>
        <w:rPr>
          <w:rStyle w:val="iadne"/>
          <w:rFonts w:ascii="SKODA Next" w:eastAsia="SKODA Next" w:hAnsi="SKODA Next" w:cs="SKODA Next"/>
          <w:b/>
          <w:bCs/>
          <w:sz w:val="20"/>
          <w:szCs w:val="20"/>
        </w:rPr>
        <w:t xml:space="preserve">Fotografie k téme:  </w:t>
      </w:r>
    </w:p>
    <w:p w14:paraId="207B0844" w14:textId="77777777" w:rsidR="003D4C3E" w:rsidRDefault="003D4C3E">
      <w:pPr>
        <w:pStyle w:val="Nadpis2new"/>
        <w:rPr>
          <w:rStyle w:val="iadne"/>
          <w:rFonts w:ascii="SKODA Next" w:eastAsia="SKODA Next" w:hAnsi="SKODA Next" w:cs="SKODA Next"/>
          <w:b/>
          <w:bCs/>
          <w:sz w:val="20"/>
          <w:szCs w:val="20"/>
        </w:rPr>
      </w:pPr>
    </w:p>
    <w:tbl>
      <w:tblPr>
        <w:tblStyle w:val="TableNormal"/>
        <w:tblW w:w="89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27"/>
        <w:gridCol w:w="4604"/>
      </w:tblGrid>
      <w:tr w:rsidR="00764FF7" w14:paraId="652103EE" w14:textId="77777777" w:rsidTr="003D4C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2D36D" w14:textId="77777777" w:rsidR="00764FF7" w:rsidRDefault="00764FF7">
            <w:pPr>
              <w:pStyle w:val="Bezriadkovania"/>
              <w:spacing w:after="0" w:line="240" w:lineRule="atLeast"/>
              <w:ind w:left="0"/>
              <w:rPr>
                <w:rStyle w:val="Hyperlink1"/>
                <w:sz w:val="20"/>
                <w:szCs w:val="20"/>
              </w:rPr>
            </w:pPr>
          </w:p>
          <w:p w14:paraId="3185C069" w14:textId="77777777" w:rsidR="00764FF7" w:rsidRDefault="00764FF7">
            <w:pPr>
              <w:pStyle w:val="Bezriadkovania"/>
              <w:spacing w:after="0" w:line="240" w:lineRule="atLeast"/>
              <w:ind w:left="0"/>
              <w:rPr>
                <w:rStyle w:val="Hyperlink1"/>
                <w:sz w:val="20"/>
                <w:szCs w:val="20"/>
              </w:rPr>
            </w:pPr>
          </w:p>
          <w:p w14:paraId="73333E61" w14:textId="77777777" w:rsidR="00764FF7" w:rsidRDefault="003D4C3E">
            <w:pPr>
              <w:pStyle w:val="Bezriadkovania"/>
              <w:spacing w:after="0" w:line="240" w:lineRule="atLeast"/>
              <w:ind w:left="0"/>
            </w:pPr>
            <w:r>
              <w:rPr>
                <w:rStyle w:val="iadne"/>
                <w:noProof/>
              </w:rPr>
              <w:drawing>
                <wp:inline distT="0" distB="0" distL="0" distR="0" wp14:anchorId="59454985" wp14:editId="52224A89">
                  <wp:extent cx="2561578" cy="1438695"/>
                  <wp:effectExtent l="0" t="0" r="0" b="0"/>
                  <wp:docPr id="1073741831" name="officeArt object" descr="Obráz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Obrázok" descr="Obrázok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578" cy="143869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789" w:type="dxa"/>
              <w:bottom w:w="80" w:type="dxa"/>
              <w:right w:w="80" w:type="dxa"/>
            </w:tcMar>
            <w:vAlign w:val="center"/>
          </w:tcPr>
          <w:p w14:paraId="0FECFEF6" w14:textId="77777777" w:rsidR="00764FF7" w:rsidRDefault="00764FF7">
            <w:pPr>
              <w:jc w:val="both"/>
              <w:rPr>
                <w:rStyle w:val="Hyperlink1"/>
                <w:b/>
                <w:bCs/>
              </w:rPr>
            </w:pPr>
          </w:p>
          <w:p w14:paraId="11FDD041" w14:textId="77777777" w:rsidR="00764FF7" w:rsidRDefault="00764FF7">
            <w:pPr>
              <w:jc w:val="both"/>
              <w:rPr>
                <w:rStyle w:val="Hyperlink1"/>
                <w:b/>
                <w:bCs/>
              </w:rPr>
            </w:pPr>
          </w:p>
          <w:p w14:paraId="512AF985" w14:textId="77777777" w:rsidR="00764FF7" w:rsidRDefault="003D4C3E">
            <w:pPr>
              <w:ind w:left="0"/>
              <w:jc w:val="both"/>
              <w:rPr>
                <w:rStyle w:val="iadne"/>
                <w:b/>
                <w:bCs/>
              </w:rPr>
            </w:pPr>
            <w:r>
              <w:rPr>
                <w:rStyle w:val="Hyperlink1"/>
                <w:b/>
                <w:bCs/>
              </w:rPr>
              <w:t xml:space="preserve">Špeciálne upravené vozidlá Škoda </w:t>
            </w:r>
            <w:proofErr w:type="spellStart"/>
            <w:r>
              <w:rPr>
                <w:rStyle w:val="Hyperlink1"/>
                <w:b/>
                <w:bCs/>
              </w:rPr>
              <w:t>Kodiaq</w:t>
            </w:r>
            <w:proofErr w:type="spellEnd"/>
            <w:r>
              <w:rPr>
                <w:rStyle w:val="Hyperlink1"/>
                <w:b/>
                <w:bCs/>
              </w:rPr>
              <w:t xml:space="preserve"> budú zachraňovať životy v službách polície </w:t>
            </w:r>
          </w:p>
          <w:p w14:paraId="78B34E16" w14:textId="77777777" w:rsidR="00764FF7" w:rsidRDefault="003D4C3E">
            <w:pPr>
              <w:ind w:left="0"/>
              <w:jc w:val="both"/>
              <w:rPr>
                <w:rStyle w:val="iadne"/>
                <w:rFonts w:ascii="SKODA Next" w:eastAsia="SKODA Next" w:hAnsi="SKODA Next" w:cs="SKODA Next"/>
              </w:rPr>
            </w:pPr>
            <w:r>
              <w:rPr>
                <w:rStyle w:val="iadne"/>
              </w:rPr>
              <w:t>Polícia zatiaľ disponuje dvojicou takýchto                   vozidiel, ktoré budú slúžiť v bratislavskom a nitrianskom kraji, pričom v budúcnosti by mohli takto upravené vozidlá slúžiť v každom regióne</w:t>
            </w:r>
            <w:r>
              <w:rPr>
                <w:rStyle w:val="Hyperlink1"/>
                <w:rFonts w:ascii="SKODA Next" w:eastAsia="SKODA Next" w:hAnsi="SKODA Next" w:cs="SKODA Next"/>
              </w:rPr>
              <w:t xml:space="preserve">             </w:t>
            </w:r>
          </w:p>
          <w:p w14:paraId="11C79BFB" w14:textId="65DDD53C" w:rsidR="00764FF7" w:rsidRDefault="003D4C3E">
            <w:pPr>
              <w:ind w:left="0"/>
              <w:jc w:val="both"/>
              <w:rPr>
                <w:rStyle w:val="iadne"/>
                <w:b/>
                <w:bCs/>
              </w:rPr>
            </w:pPr>
            <w:hyperlink r:id="rId14" w:history="1">
              <w:r>
                <w:rPr>
                  <w:rStyle w:val="Hyperlink2"/>
                </w:rPr>
                <w:t>Download</w:t>
              </w:r>
            </w:hyperlink>
            <w:r>
              <w:rPr>
                <w:rStyle w:val="iadne"/>
                <w:rFonts w:ascii="SKODA Next" w:eastAsia="SKODA Next" w:hAnsi="SKODA Next" w:cs="SKODA Next"/>
              </w:rPr>
              <w:t xml:space="preserve">               </w:t>
            </w:r>
            <w:r>
              <w:rPr>
                <w:rStyle w:val="iadne"/>
              </w:rPr>
              <w:t xml:space="preserve">                       </w:t>
            </w:r>
            <w:r>
              <w:rPr>
                <w:rStyle w:val="iadne"/>
              </w:rPr>
              <w:t xml:space="preserve"> Zdroj: MV SR </w:t>
            </w:r>
            <w:r>
              <w:rPr>
                <w:rStyle w:val="Hyperlink1"/>
                <w:b/>
                <w:bCs/>
              </w:rPr>
              <w:t xml:space="preserve"> </w:t>
            </w:r>
          </w:p>
          <w:p w14:paraId="31B79492" w14:textId="77777777" w:rsidR="00764FF7" w:rsidRDefault="00764FF7">
            <w:pPr>
              <w:ind w:left="0"/>
              <w:rPr>
                <w:rStyle w:val="Hyperlink1"/>
                <w:rFonts w:ascii="SKODA Next" w:eastAsia="SKODA Next" w:hAnsi="SKODA Next" w:cs="SKODA Next"/>
              </w:rPr>
            </w:pPr>
          </w:p>
          <w:p w14:paraId="6ACB7B34" w14:textId="77777777" w:rsidR="00764FF7" w:rsidRDefault="00764FF7">
            <w:pPr>
              <w:ind w:left="0"/>
              <w:rPr>
                <w:rStyle w:val="Hyperlink1"/>
                <w:rFonts w:ascii="SKODA Next" w:eastAsia="SKODA Next" w:hAnsi="SKODA Next" w:cs="SKODA Next"/>
              </w:rPr>
            </w:pPr>
          </w:p>
          <w:p w14:paraId="1B4275C0" w14:textId="77777777" w:rsidR="00764FF7" w:rsidRDefault="00764FF7">
            <w:pPr>
              <w:ind w:left="0"/>
              <w:rPr>
                <w:rStyle w:val="Hyperlink1"/>
                <w:rFonts w:ascii="SKODA Next" w:eastAsia="SKODA Next" w:hAnsi="SKODA Next" w:cs="SKODA Next"/>
              </w:rPr>
            </w:pPr>
          </w:p>
          <w:p w14:paraId="5FAC03F7" w14:textId="77777777" w:rsidR="00764FF7" w:rsidRDefault="00764FF7"/>
        </w:tc>
      </w:tr>
      <w:tr w:rsidR="00764FF7" w14:paraId="17AAC4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09C33" w14:textId="77777777" w:rsidR="00764FF7" w:rsidRDefault="00764FF7">
            <w:pPr>
              <w:pStyle w:val="Bezriadkovania"/>
              <w:spacing w:after="0" w:line="240" w:lineRule="atLeast"/>
              <w:ind w:left="0"/>
              <w:rPr>
                <w:rStyle w:val="Hyperlink1"/>
              </w:rPr>
            </w:pPr>
          </w:p>
          <w:p w14:paraId="32952918" w14:textId="77777777" w:rsidR="00764FF7" w:rsidRDefault="003D4C3E">
            <w:pPr>
              <w:pStyle w:val="Bezriadkovania"/>
              <w:spacing w:after="0" w:line="240" w:lineRule="atLeast"/>
              <w:ind w:left="0"/>
            </w:pPr>
            <w:r>
              <w:rPr>
                <w:rStyle w:val="Hyperlink1"/>
                <w:noProof/>
              </w:rPr>
              <w:drawing>
                <wp:inline distT="0" distB="0" distL="0" distR="0" wp14:anchorId="08923932" wp14:editId="6CA8FB51">
                  <wp:extent cx="2591029" cy="1748790"/>
                  <wp:effectExtent l="0" t="0" r="0" b="0"/>
                  <wp:docPr id="1073741832" name="officeArt object" descr="Obráz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Obrázok" descr="Obrázok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029" cy="174879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64C05" w14:textId="77777777" w:rsidR="00764FF7" w:rsidRDefault="00764FF7">
            <w:pPr>
              <w:ind w:left="0"/>
              <w:jc w:val="both"/>
              <w:rPr>
                <w:rStyle w:val="Hyperlink1"/>
                <w:b/>
                <w:bCs/>
              </w:rPr>
            </w:pPr>
          </w:p>
          <w:p w14:paraId="4CAF2E89" w14:textId="77777777" w:rsidR="00764FF7" w:rsidRDefault="003D4C3E">
            <w:pPr>
              <w:ind w:left="0"/>
              <w:jc w:val="both"/>
              <w:rPr>
                <w:rStyle w:val="iadne"/>
                <w:b/>
                <w:bCs/>
              </w:rPr>
            </w:pPr>
            <w:r>
              <w:rPr>
                <w:rStyle w:val="Hyperlink1"/>
                <w:b/>
                <w:bCs/>
              </w:rPr>
              <w:t xml:space="preserve">Špeciálne upravené vozidlá Škoda </w:t>
            </w:r>
            <w:proofErr w:type="spellStart"/>
            <w:r>
              <w:rPr>
                <w:rStyle w:val="Hyperlink1"/>
                <w:b/>
                <w:bCs/>
              </w:rPr>
              <w:t>Kodiaq</w:t>
            </w:r>
            <w:proofErr w:type="spellEnd"/>
            <w:r>
              <w:rPr>
                <w:rStyle w:val="Hyperlink1"/>
                <w:b/>
                <w:bCs/>
              </w:rPr>
              <w:t xml:space="preserve"> budú zachraňovať životy v službách polície </w:t>
            </w:r>
          </w:p>
          <w:p w14:paraId="77992BFC" w14:textId="77777777" w:rsidR="00764FF7" w:rsidRDefault="003D4C3E">
            <w:pPr>
              <w:ind w:left="0"/>
              <w:jc w:val="both"/>
              <w:rPr>
                <w:rStyle w:val="iadne"/>
                <w:b/>
                <w:bCs/>
              </w:rPr>
            </w:pPr>
            <w:r>
              <w:rPr>
                <w:rStyle w:val="iadne"/>
              </w:rPr>
              <w:t xml:space="preserve">Súčasťou ich výbavy sú prostriedky balistickej ochrany policajtov (balistický štít, </w:t>
            </w:r>
            <w:r>
              <w:rPr>
                <w:rStyle w:val="iadne"/>
              </w:rPr>
              <w:t xml:space="preserve">vesty, prilby), prostriedky na prekonanie prekážok a zámkov (rebrík, baranidlo, </w:t>
            </w:r>
            <w:proofErr w:type="spellStart"/>
            <w:r>
              <w:rPr>
                <w:rStyle w:val="iadne"/>
              </w:rPr>
              <w:t>sada</w:t>
            </w:r>
            <w:proofErr w:type="spellEnd"/>
            <w:r>
              <w:rPr>
                <w:rStyle w:val="iadne"/>
              </w:rPr>
              <w:t xml:space="preserve"> </w:t>
            </w:r>
            <w:proofErr w:type="spellStart"/>
            <w:r>
              <w:rPr>
                <w:rStyle w:val="iadne"/>
              </w:rPr>
              <w:t>páčidiel</w:t>
            </w:r>
            <w:proofErr w:type="spellEnd"/>
            <w:r>
              <w:rPr>
                <w:rStyle w:val="iadne"/>
              </w:rPr>
              <w:t xml:space="preserve">), telekomunikačné sady, zastavovací pás či prostriedky predlekárskej pomoci (medi-vak, defibrilátor, </w:t>
            </w:r>
            <w:proofErr w:type="spellStart"/>
            <w:r>
              <w:rPr>
                <w:rStyle w:val="iadne"/>
              </w:rPr>
              <w:t>triážna</w:t>
            </w:r>
            <w:proofErr w:type="spellEnd"/>
            <w:r>
              <w:rPr>
                <w:rStyle w:val="iadne"/>
              </w:rPr>
              <w:t xml:space="preserve"> </w:t>
            </w:r>
            <w:proofErr w:type="spellStart"/>
            <w:r>
              <w:rPr>
                <w:rStyle w:val="iadne"/>
              </w:rPr>
              <w:t>sada</w:t>
            </w:r>
            <w:proofErr w:type="spellEnd"/>
            <w:r>
              <w:rPr>
                <w:rStyle w:val="iadne"/>
              </w:rPr>
              <w:t>, hasiaci prístroj, apod.)</w:t>
            </w:r>
          </w:p>
          <w:p w14:paraId="4A396A2B" w14:textId="7D9FFCF1" w:rsidR="00764FF7" w:rsidRDefault="003D4C3E">
            <w:pPr>
              <w:ind w:left="0"/>
              <w:jc w:val="both"/>
            </w:pPr>
            <w:hyperlink r:id="rId16" w:history="1">
              <w:r>
                <w:rPr>
                  <w:rStyle w:val="Hyperlink2"/>
                </w:rPr>
                <w:t>Download</w:t>
              </w:r>
            </w:hyperlink>
            <w:r>
              <w:rPr>
                <w:rStyle w:val="iadne"/>
              </w:rPr>
              <w:t xml:space="preserve">                                                    </w:t>
            </w:r>
            <w:r>
              <w:rPr>
                <w:rStyle w:val="iadne"/>
              </w:rPr>
              <w:t xml:space="preserve"> Zdroj: MV SR</w:t>
            </w:r>
            <w:r>
              <w:rPr>
                <w:rStyle w:val="Hyperlink1"/>
                <w:b/>
                <w:bCs/>
              </w:rPr>
              <w:t xml:space="preserve">  </w:t>
            </w:r>
          </w:p>
        </w:tc>
      </w:tr>
      <w:tr w:rsidR="00764FF7" w14:paraId="1EB517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B888B" w14:textId="77777777" w:rsidR="00764FF7" w:rsidRDefault="00764FF7"/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20135" w14:textId="77777777" w:rsidR="00764FF7" w:rsidRDefault="00764FF7"/>
        </w:tc>
      </w:tr>
      <w:tr w:rsidR="00764FF7" w14:paraId="4357E6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EEF3B" w14:textId="77777777" w:rsidR="00764FF7" w:rsidRDefault="003D4C3E">
            <w:pPr>
              <w:pStyle w:val="Bezriadkovania"/>
              <w:spacing w:after="0" w:line="240" w:lineRule="atLeast"/>
              <w:ind w:left="0"/>
            </w:pPr>
            <w:r>
              <w:rPr>
                <w:rStyle w:val="Hyperlink1"/>
              </w:rPr>
              <w:t xml:space="preserve"> 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C821B" w14:textId="77777777" w:rsidR="00764FF7" w:rsidRDefault="00764FF7"/>
        </w:tc>
      </w:tr>
    </w:tbl>
    <w:p w14:paraId="1E401703" w14:textId="77777777" w:rsidR="00764FF7" w:rsidRDefault="00764FF7">
      <w:pPr>
        <w:pStyle w:val="Nadpis2new"/>
        <w:widowControl w:val="0"/>
        <w:spacing w:line="240" w:lineRule="auto"/>
        <w:ind w:left="0"/>
        <w:rPr>
          <w:rStyle w:val="iadne"/>
          <w:rFonts w:ascii="SKODA Next" w:eastAsia="SKODA Next" w:hAnsi="SKODA Next" w:cs="SKODA Next"/>
          <w:b/>
          <w:bCs/>
          <w:sz w:val="20"/>
          <w:szCs w:val="20"/>
        </w:rPr>
      </w:pPr>
    </w:p>
    <w:p w14:paraId="1BBF8218" w14:textId="77777777" w:rsidR="00764FF7" w:rsidRDefault="00764FF7">
      <w:pPr>
        <w:spacing w:after="0" w:line="22" w:lineRule="auto"/>
        <w:ind w:left="0"/>
        <w:rPr>
          <w:rStyle w:val="iadneA"/>
          <w:rFonts w:ascii="SKODA Next" w:eastAsia="SKODA Next" w:hAnsi="SKODA Next" w:cs="SKODA Next"/>
        </w:rPr>
      </w:pPr>
    </w:p>
    <w:p w14:paraId="1CEE8872" w14:textId="77777777" w:rsidR="00764FF7" w:rsidRDefault="00764FF7">
      <w:pPr>
        <w:rPr>
          <w:rStyle w:val="iadneA"/>
          <w:b/>
          <w:bCs/>
          <w:sz w:val="16"/>
          <w:szCs w:val="16"/>
        </w:rPr>
      </w:pPr>
    </w:p>
    <w:p w14:paraId="05F539F6" w14:textId="77777777" w:rsidR="00764FF7" w:rsidRDefault="00764FF7">
      <w:pPr>
        <w:rPr>
          <w:rStyle w:val="iadneA"/>
          <w:b/>
          <w:bCs/>
          <w:sz w:val="16"/>
          <w:szCs w:val="16"/>
        </w:rPr>
      </w:pPr>
    </w:p>
    <w:p w14:paraId="2BBD3CDA" w14:textId="77777777" w:rsidR="00764FF7" w:rsidRDefault="00764FF7">
      <w:pPr>
        <w:rPr>
          <w:rStyle w:val="iadneA"/>
          <w:b/>
          <w:bCs/>
          <w:sz w:val="16"/>
          <w:szCs w:val="16"/>
        </w:rPr>
      </w:pPr>
    </w:p>
    <w:p w14:paraId="15D450AA" w14:textId="77777777" w:rsidR="00764FF7" w:rsidRDefault="003D4C3E">
      <w:pPr>
        <w:rPr>
          <w:rStyle w:val="iadne"/>
          <w:b/>
          <w:bCs/>
          <w:sz w:val="16"/>
          <w:szCs w:val="16"/>
        </w:rPr>
      </w:pPr>
      <w:r>
        <w:rPr>
          <w:rStyle w:val="iadne"/>
          <w:b/>
          <w:bCs/>
          <w:sz w:val="16"/>
          <w:szCs w:val="16"/>
        </w:rPr>
        <w:t>Škoda Auto</w:t>
      </w:r>
    </w:p>
    <w:p w14:paraId="0D273897" w14:textId="77777777" w:rsidR="00764FF7" w:rsidRDefault="003D4C3E">
      <w:pPr>
        <w:spacing w:line="240" w:lineRule="auto"/>
        <w:jc w:val="both"/>
        <w:rPr>
          <w:rStyle w:val="iadne"/>
          <w:sz w:val="16"/>
          <w:szCs w:val="16"/>
        </w:rPr>
      </w:pPr>
      <w:r>
        <w:rPr>
          <w:rStyle w:val="iadne"/>
          <w:sz w:val="16"/>
          <w:szCs w:val="16"/>
        </w:rPr>
        <w:t>› sa v novom desaťročí úspešne riadi stratégiou „</w:t>
      </w:r>
      <w:proofErr w:type="spellStart"/>
      <w:r>
        <w:rPr>
          <w:rStyle w:val="iadne"/>
          <w:sz w:val="16"/>
          <w:szCs w:val="16"/>
        </w:rPr>
        <w:t>Next</w:t>
      </w:r>
      <w:proofErr w:type="spellEnd"/>
      <w:r>
        <w:rPr>
          <w:rStyle w:val="iadne"/>
          <w:sz w:val="16"/>
          <w:szCs w:val="16"/>
        </w:rPr>
        <w:t xml:space="preserve"> Level – Škoda </w:t>
      </w:r>
      <w:proofErr w:type="spellStart"/>
      <w:r>
        <w:rPr>
          <w:rStyle w:val="iadne"/>
          <w:sz w:val="16"/>
          <w:szCs w:val="16"/>
        </w:rPr>
        <w:t>Strategy</w:t>
      </w:r>
      <w:proofErr w:type="spellEnd"/>
      <w:r>
        <w:rPr>
          <w:rStyle w:val="iadne"/>
          <w:sz w:val="16"/>
          <w:szCs w:val="16"/>
        </w:rPr>
        <w:t xml:space="preserve"> 2030“;</w:t>
      </w:r>
    </w:p>
    <w:p w14:paraId="34B2C07D" w14:textId="77777777" w:rsidR="00764FF7" w:rsidRDefault="003D4C3E">
      <w:pPr>
        <w:spacing w:line="240" w:lineRule="auto"/>
        <w:jc w:val="both"/>
        <w:rPr>
          <w:rStyle w:val="iadne"/>
          <w:sz w:val="16"/>
          <w:szCs w:val="16"/>
        </w:rPr>
      </w:pPr>
      <w:r>
        <w:rPr>
          <w:rStyle w:val="iadne"/>
          <w:sz w:val="16"/>
          <w:szCs w:val="16"/>
        </w:rPr>
        <w:t xml:space="preserve">› sa usiluje o to, aby sa do roku 2030 pomocou atraktívnych ponúk vo </w:t>
      </w:r>
      <w:r>
        <w:rPr>
          <w:rStyle w:val="iadne"/>
          <w:sz w:val="16"/>
          <w:szCs w:val="16"/>
        </w:rPr>
        <w:t xml:space="preserve">vstupných segmentoch a vďaka ďalším modelom s elektrickým pohonom zaradila medzi päť najpredávanejších značiek v Európe; </w:t>
      </w:r>
    </w:p>
    <w:p w14:paraId="488F47C3" w14:textId="77777777" w:rsidR="00764FF7" w:rsidRDefault="003D4C3E">
      <w:pPr>
        <w:spacing w:line="240" w:lineRule="auto"/>
        <w:jc w:val="both"/>
        <w:rPr>
          <w:rStyle w:val="iadne"/>
          <w:sz w:val="16"/>
          <w:szCs w:val="16"/>
        </w:rPr>
      </w:pPr>
      <w:r>
        <w:rPr>
          <w:rStyle w:val="iadne"/>
          <w:sz w:val="16"/>
          <w:szCs w:val="16"/>
        </w:rPr>
        <w:t>› smeruje na pozíciu najúspešnejšej európskej automobilky na dôležitých rastových trhoch ako je India a severná Afrika;</w:t>
      </w:r>
    </w:p>
    <w:p w14:paraId="3BC0E133" w14:textId="77777777" w:rsidR="00764FF7" w:rsidRDefault="003D4C3E">
      <w:pPr>
        <w:spacing w:line="240" w:lineRule="auto"/>
        <w:jc w:val="both"/>
        <w:rPr>
          <w:rStyle w:val="iadne"/>
          <w:sz w:val="16"/>
          <w:szCs w:val="16"/>
        </w:rPr>
      </w:pPr>
      <w:r>
        <w:rPr>
          <w:rStyle w:val="iadne"/>
          <w:sz w:val="16"/>
          <w:szCs w:val="16"/>
        </w:rPr>
        <w:t>› v súč</w:t>
      </w:r>
      <w:r>
        <w:rPr>
          <w:rStyle w:val="iadne"/>
          <w:sz w:val="16"/>
          <w:szCs w:val="16"/>
        </w:rPr>
        <w:t xml:space="preserve">asnosti zákazníkom ponúka 12 modelových radov osobných automobilov: Fabia, Rapid, </w:t>
      </w:r>
      <w:proofErr w:type="spellStart"/>
      <w:r>
        <w:rPr>
          <w:rStyle w:val="iadne"/>
          <w:sz w:val="16"/>
          <w:szCs w:val="16"/>
        </w:rPr>
        <w:t>Scala</w:t>
      </w:r>
      <w:proofErr w:type="spellEnd"/>
      <w:r>
        <w:rPr>
          <w:rStyle w:val="iadne"/>
          <w:sz w:val="16"/>
          <w:szCs w:val="16"/>
        </w:rPr>
        <w:t xml:space="preserve">, Octavia, </w:t>
      </w:r>
      <w:proofErr w:type="spellStart"/>
      <w:r>
        <w:rPr>
          <w:rStyle w:val="iadne"/>
          <w:sz w:val="16"/>
          <w:szCs w:val="16"/>
        </w:rPr>
        <w:t>Superb</w:t>
      </w:r>
      <w:proofErr w:type="spellEnd"/>
      <w:r>
        <w:rPr>
          <w:rStyle w:val="iadne"/>
          <w:sz w:val="16"/>
          <w:szCs w:val="16"/>
        </w:rPr>
        <w:t xml:space="preserve">,  </w:t>
      </w:r>
    </w:p>
    <w:p w14:paraId="718C47CD" w14:textId="77777777" w:rsidR="00764FF7" w:rsidRDefault="003D4C3E">
      <w:pPr>
        <w:spacing w:line="240" w:lineRule="auto"/>
        <w:jc w:val="both"/>
        <w:rPr>
          <w:rStyle w:val="iadne"/>
          <w:sz w:val="16"/>
          <w:szCs w:val="16"/>
        </w:rPr>
      </w:pPr>
      <w:r>
        <w:rPr>
          <w:rStyle w:val="iadne"/>
          <w:sz w:val="16"/>
          <w:szCs w:val="16"/>
        </w:rPr>
        <w:t xml:space="preserve">  </w:t>
      </w:r>
      <w:proofErr w:type="spellStart"/>
      <w:r>
        <w:rPr>
          <w:rStyle w:val="iadne"/>
          <w:sz w:val="16"/>
          <w:szCs w:val="16"/>
        </w:rPr>
        <w:t>Kamiq</w:t>
      </w:r>
      <w:proofErr w:type="spellEnd"/>
      <w:r>
        <w:rPr>
          <w:rStyle w:val="iadne"/>
          <w:sz w:val="16"/>
          <w:szCs w:val="16"/>
        </w:rPr>
        <w:t xml:space="preserve">, </w:t>
      </w:r>
      <w:proofErr w:type="spellStart"/>
      <w:r>
        <w:rPr>
          <w:rStyle w:val="iadne"/>
          <w:sz w:val="16"/>
          <w:szCs w:val="16"/>
        </w:rPr>
        <w:t>Karoq</w:t>
      </w:r>
      <w:proofErr w:type="spellEnd"/>
      <w:r>
        <w:rPr>
          <w:rStyle w:val="iadne"/>
          <w:sz w:val="16"/>
          <w:szCs w:val="16"/>
        </w:rPr>
        <w:t xml:space="preserve">, </w:t>
      </w:r>
      <w:proofErr w:type="spellStart"/>
      <w:r>
        <w:rPr>
          <w:rStyle w:val="iadne"/>
          <w:sz w:val="16"/>
          <w:szCs w:val="16"/>
        </w:rPr>
        <w:t>Kodiaq</w:t>
      </w:r>
      <w:proofErr w:type="spellEnd"/>
      <w:r>
        <w:rPr>
          <w:rStyle w:val="iadne"/>
          <w:sz w:val="16"/>
          <w:szCs w:val="16"/>
        </w:rPr>
        <w:t xml:space="preserve">, </w:t>
      </w:r>
      <w:proofErr w:type="spellStart"/>
      <w:r>
        <w:rPr>
          <w:rStyle w:val="iadne"/>
          <w:sz w:val="16"/>
          <w:szCs w:val="16"/>
        </w:rPr>
        <w:t>Enyaq</w:t>
      </w:r>
      <w:proofErr w:type="spellEnd"/>
      <w:r>
        <w:rPr>
          <w:rStyle w:val="iadne"/>
          <w:sz w:val="16"/>
          <w:szCs w:val="16"/>
        </w:rPr>
        <w:t xml:space="preserve"> </w:t>
      </w:r>
      <w:proofErr w:type="spellStart"/>
      <w:r>
        <w:rPr>
          <w:rStyle w:val="iadne"/>
          <w:sz w:val="16"/>
          <w:szCs w:val="16"/>
        </w:rPr>
        <w:t>iV</w:t>
      </w:r>
      <w:proofErr w:type="spellEnd"/>
      <w:r>
        <w:rPr>
          <w:rStyle w:val="iadne"/>
          <w:sz w:val="16"/>
          <w:szCs w:val="16"/>
        </w:rPr>
        <w:t xml:space="preserve">, </w:t>
      </w:r>
      <w:proofErr w:type="spellStart"/>
      <w:r>
        <w:rPr>
          <w:rStyle w:val="iadne"/>
          <w:sz w:val="16"/>
          <w:szCs w:val="16"/>
        </w:rPr>
        <w:t>Enyaq</w:t>
      </w:r>
      <w:proofErr w:type="spellEnd"/>
      <w:r>
        <w:rPr>
          <w:rStyle w:val="iadne"/>
          <w:sz w:val="16"/>
          <w:szCs w:val="16"/>
        </w:rPr>
        <w:t xml:space="preserve"> </w:t>
      </w:r>
      <w:proofErr w:type="spellStart"/>
      <w:r>
        <w:rPr>
          <w:rStyle w:val="iadne"/>
          <w:sz w:val="16"/>
          <w:szCs w:val="16"/>
        </w:rPr>
        <w:t>Coupé</w:t>
      </w:r>
      <w:proofErr w:type="spellEnd"/>
      <w:r>
        <w:rPr>
          <w:rStyle w:val="iadne"/>
          <w:sz w:val="16"/>
          <w:szCs w:val="16"/>
        </w:rPr>
        <w:t xml:space="preserve"> </w:t>
      </w:r>
      <w:proofErr w:type="spellStart"/>
      <w:r>
        <w:rPr>
          <w:rStyle w:val="iadne"/>
          <w:sz w:val="16"/>
          <w:szCs w:val="16"/>
        </w:rPr>
        <w:t>iV</w:t>
      </w:r>
      <w:proofErr w:type="spellEnd"/>
      <w:r>
        <w:rPr>
          <w:rStyle w:val="iadne"/>
          <w:sz w:val="16"/>
          <w:szCs w:val="16"/>
        </w:rPr>
        <w:t xml:space="preserve">, </w:t>
      </w:r>
      <w:proofErr w:type="spellStart"/>
      <w:r>
        <w:rPr>
          <w:rStyle w:val="iadne"/>
          <w:sz w:val="16"/>
          <w:szCs w:val="16"/>
        </w:rPr>
        <w:t>Slavia</w:t>
      </w:r>
      <w:proofErr w:type="spellEnd"/>
      <w:r>
        <w:rPr>
          <w:rStyle w:val="iadne"/>
          <w:sz w:val="16"/>
          <w:szCs w:val="16"/>
        </w:rPr>
        <w:t xml:space="preserve"> a </w:t>
      </w:r>
      <w:proofErr w:type="spellStart"/>
      <w:r>
        <w:rPr>
          <w:rStyle w:val="iadne"/>
          <w:sz w:val="16"/>
          <w:szCs w:val="16"/>
        </w:rPr>
        <w:t>Kushaq</w:t>
      </w:r>
      <w:proofErr w:type="spellEnd"/>
      <w:r>
        <w:rPr>
          <w:rStyle w:val="iadne"/>
          <w:sz w:val="16"/>
          <w:szCs w:val="16"/>
        </w:rPr>
        <w:t>;</w:t>
      </w:r>
    </w:p>
    <w:p w14:paraId="2DAB815B" w14:textId="77777777" w:rsidR="00764FF7" w:rsidRDefault="003D4C3E">
      <w:pPr>
        <w:spacing w:line="240" w:lineRule="auto"/>
        <w:jc w:val="both"/>
        <w:rPr>
          <w:rStyle w:val="iadne"/>
          <w:sz w:val="16"/>
          <w:szCs w:val="16"/>
        </w:rPr>
      </w:pPr>
      <w:r>
        <w:rPr>
          <w:rStyle w:val="iadne"/>
          <w:sz w:val="16"/>
          <w:szCs w:val="16"/>
        </w:rPr>
        <w:t>› v roku 2022 dodala zákazníkom po celom svete viac ako 731 000 vozidiel;</w:t>
      </w:r>
    </w:p>
    <w:p w14:paraId="278E3988" w14:textId="77777777" w:rsidR="00764FF7" w:rsidRDefault="003D4C3E">
      <w:pPr>
        <w:spacing w:line="240" w:lineRule="auto"/>
        <w:jc w:val="both"/>
        <w:rPr>
          <w:rStyle w:val="iadne"/>
          <w:sz w:val="16"/>
          <w:szCs w:val="16"/>
        </w:rPr>
      </w:pPr>
      <w:r>
        <w:rPr>
          <w:rStyle w:val="iadne"/>
          <w:sz w:val="16"/>
          <w:szCs w:val="16"/>
        </w:rPr>
        <w:t>› je už</w:t>
      </w:r>
      <w:r>
        <w:rPr>
          <w:rStyle w:val="iadne"/>
          <w:sz w:val="16"/>
          <w:szCs w:val="16"/>
        </w:rPr>
        <w:t xml:space="preserve"> 30 rokov súčasťou koncernu Volkswagen, jedného z globálne najúspešnejších výrobcov automobilov; </w:t>
      </w:r>
    </w:p>
    <w:p w14:paraId="1641D619" w14:textId="77777777" w:rsidR="00764FF7" w:rsidRDefault="003D4C3E">
      <w:pPr>
        <w:spacing w:line="240" w:lineRule="auto"/>
        <w:jc w:val="both"/>
        <w:rPr>
          <w:rStyle w:val="iadne"/>
          <w:sz w:val="16"/>
          <w:szCs w:val="16"/>
        </w:rPr>
      </w:pPr>
      <w:r>
        <w:rPr>
          <w:rStyle w:val="iadne"/>
          <w:sz w:val="16"/>
          <w:szCs w:val="16"/>
        </w:rPr>
        <w:t>› v koncernovom zväzku samostatne vyvíja a vyrába okrem vozidiel aj komponenty ako motory a prevodovky;</w:t>
      </w:r>
    </w:p>
    <w:p w14:paraId="76BF3FB1" w14:textId="77777777" w:rsidR="00764FF7" w:rsidRDefault="003D4C3E">
      <w:pPr>
        <w:spacing w:line="240" w:lineRule="auto"/>
        <w:jc w:val="both"/>
        <w:rPr>
          <w:rStyle w:val="iadne"/>
          <w:sz w:val="16"/>
          <w:szCs w:val="16"/>
        </w:rPr>
      </w:pPr>
      <w:r>
        <w:rPr>
          <w:rStyle w:val="iadne"/>
          <w:sz w:val="16"/>
          <w:szCs w:val="16"/>
        </w:rPr>
        <w:t>› prevádzkuje tri výrobné závody v Českej republike, a</w:t>
      </w:r>
      <w:r>
        <w:rPr>
          <w:rStyle w:val="iadne"/>
          <w:sz w:val="16"/>
          <w:szCs w:val="16"/>
        </w:rPr>
        <w:t>le výrobné kapacity má aj v Číne, v Rusku, na Slovensku a v Indii, a to väčšinou prostredníctvom koncernových partnerstiev. Okrem toho aj na Ukrajine v spolupráci s lokálnym partnerom.</w:t>
      </w:r>
    </w:p>
    <w:p w14:paraId="21FB5580" w14:textId="77777777" w:rsidR="00764FF7" w:rsidRDefault="003D4C3E">
      <w:pPr>
        <w:spacing w:line="240" w:lineRule="auto"/>
        <w:jc w:val="both"/>
      </w:pPr>
      <w:r>
        <w:rPr>
          <w:rStyle w:val="iadne"/>
          <w:sz w:val="16"/>
          <w:szCs w:val="16"/>
        </w:rPr>
        <w:t>› celosvetovo zamestnáva 45 000 ľudí a je aktívna na viac ako 100 trhoc</w:t>
      </w:r>
      <w:r>
        <w:rPr>
          <w:rStyle w:val="iadne"/>
          <w:sz w:val="16"/>
          <w:szCs w:val="16"/>
        </w:rPr>
        <w:t>h.</w:t>
      </w:r>
    </w:p>
    <w:sectPr w:rsidR="00764FF7">
      <w:headerReference w:type="default" r:id="rId17"/>
      <w:footerReference w:type="default" r:id="rId18"/>
      <w:pgSz w:w="11900" w:h="16840"/>
      <w:pgMar w:top="2269" w:right="1841" w:bottom="2206" w:left="1134" w:header="850" w:footer="4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AAD6A" w14:textId="77777777" w:rsidR="00000000" w:rsidRDefault="003D4C3E">
      <w:pPr>
        <w:spacing w:after="0" w:line="240" w:lineRule="auto"/>
      </w:pPr>
      <w:r>
        <w:separator/>
      </w:r>
    </w:p>
  </w:endnote>
  <w:endnote w:type="continuationSeparator" w:id="0">
    <w:p w14:paraId="76AAA985" w14:textId="77777777" w:rsidR="00000000" w:rsidRDefault="003D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KODA Next Light">
    <w:altName w:val="Cambria"/>
    <w:charset w:val="EE"/>
    <w:family w:val="swiss"/>
    <w:pitch w:val="variable"/>
    <w:sig w:usb0="A00002E7" w:usb1="00002021" w:usb2="00000000" w:usb3="00000000" w:csb0="0000009F" w:csb1="00000000"/>
  </w:font>
  <w:font w:name="SKODA Next">
    <w:altName w:val="Cambria"/>
    <w:charset w:val="EE"/>
    <w:family w:val="swiss"/>
    <w:pitch w:val="variable"/>
    <w:sig w:usb0="A00002E7" w:usb1="00002021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604B9" w14:textId="77777777" w:rsidR="00764FF7" w:rsidRDefault="00764FF7">
    <w:pPr>
      <w:pStyle w:val="Pta"/>
      <w:rPr>
        <w:rStyle w:val="iadneA"/>
      </w:rPr>
    </w:pPr>
  </w:p>
  <w:p w14:paraId="1ACFF6F0" w14:textId="77777777" w:rsidR="00764FF7" w:rsidRDefault="00764FF7">
    <w:pPr>
      <w:pStyle w:val="Pta"/>
      <w:rPr>
        <w:rStyle w:val="iadneA"/>
      </w:rPr>
    </w:pPr>
  </w:p>
  <w:p w14:paraId="374124D6" w14:textId="77777777" w:rsidR="00764FF7" w:rsidRDefault="00764FF7">
    <w:pPr>
      <w:pStyle w:val="Pta"/>
      <w:rPr>
        <w:rStyle w:val="iadneA"/>
      </w:rPr>
    </w:pPr>
  </w:p>
  <w:p w14:paraId="592F02CD" w14:textId="77777777" w:rsidR="00764FF7" w:rsidRDefault="003D4C3E">
    <w:pPr>
      <w:pStyle w:val="Pta"/>
    </w:pPr>
    <w:r>
      <w:rPr>
        <w:rStyle w:val="iadneA"/>
      </w:rPr>
      <w:tab/>
    </w:r>
  </w:p>
  <w:p w14:paraId="7B8B633D" w14:textId="77777777" w:rsidR="00764FF7" w:rsidRDefault="00764F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E4F8F" w14:textId="77777777" w:rsidR="00000000" w:rsidRDefault="003D4C3E">
      <w:pPr>
        <w:spacing w:after="0" w:line="240" w:lineRule="auto"/>
      </w:pPr>
      <w:r>
        <w:separator/>
      </w:r>
    </w:p>
  </w:footnote>
  <w:footnote w:type="continuationSeparator" w:id="0">
    <w:p w14:paraId="41221482" w14:textId="77777777" w:rsidR="00000000" w:rsidRDefault="003D4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89DB" w14:textId="77777777" w:rsidR="00764FF7" w:rsidRDefault="003D4C3E">
    <w:pPr>
      <w:pStyle w:val="Hlavika"/>
      <w:ind w:left="0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AAC1736" wp14:editId="1BAD34EA">
          <wp:simplePos x="0" y="0"/>
          <wp:positionH relativeFrom="page">
            <wp:posOffset>4902200</wp:posOffset>
          </wp:positionH>
          <wp:positionV relativeFrom="page">
            <wp:posOffset>448945</wp:posOffset>
          </wp:positionV>
          <wp:extent cx="1681480" cy="405130"/>
          <wp:effectExtent l="0" t="0" r="0" b="0"/>
          <wp:wrapNone/>
          <wp:docPr id="1073741825" name="officeArt object" descr="Obrázo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ok" descr="Obrázok"/>
                  <pic:cNvPicPr>
                    <a:picLocks noChangeAspect="1"/>
                  </pic:cNvPicPr>
                </pic:nvPicPr>
                <pic:blipFill>
                  <a:blip r:embed="rId1"/>
                  <a:srcRect l="13110" t="13267" r="12983" b="55079"/>
                  <a:stretch>
                    <a:fillRect/>
                  </a:stretch>
                </pic:blipFill>
                <pic:spPr>
                  <a:xfrm>
                    <a:off x="0" y="0"/>
                    <a:ext cx="1681480" cy="4051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41FE142E" wp14:editId="4B58FF1A">
          <wp:simplePos x="0" y="0"/>
          <wp:positionH relativeFrom="page">
            <wp:posOffset>0</wp:posOffset>
          </wp:positionH>
          <wp:positionV relativeFrom="page">
            <wp:posOffset>9582150</wp:posOffset>
          </wp:positionV>
          <wp:extent cx="7542531" cy="1939290"/>
          <wp:effectExtent l="0" t="0" r="0" b="0"/>
          <wp:wrapNone/>
          <wp:docPr id="1073741826" name="officeArt object" descr="Obsah obrázku text, snímek obrazovky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sah obrázku text, snímek obrazovkyPopis byl vytvořen automaticky" descr="Obsah obrázku text, snímek obrazovkyPopis byl vytvořen automaticky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2531" cy="19392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303F72D8" wp14:editId="0D259F9D">
              <wp:simplePos x="0" y="0"/>
              <wp:positionH relativeFrom="page">
                <wp:posOffset>5932170</wp:posOffset>
              </wp:positionH>
              <wp:positionV relativeFrom="page">
                <wp:posOffset>10252075</wp:posOffset>
              </wp:positionV>
              <wp:extent cx="880111" cy="276225"/>
              <wp:effectExtent l="0" t="0" r="0" b="0"/>
              <wp:wrapNone/>
              <wp:docPr id="1073741827" name="officeArt object" descr="Obdĺžni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0111" cy="276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7690706" w14:textId="77777777" w:rsidR="00764FF7" w:rsidRDefault="003D4C3E">
                          <w:pPr>
                            <w:jc w:val="right"/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3F72D8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Obdĺžnik" style="position:absolute;margin-left:467.1pt;margin-top:807.25pt;width:69.3pt;height:21.7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" filled="f" stroked="f" strokeweight="1pt">
              <v:stroke miterlimit="4"/>
              <v:textbox inset="1.27mm,1.27mm,1.27mm,1.27mm">
                <w:txbxContent>
                  <w:p w14:paraId="77690706" w14:textId="77777777" w:rsidR="00764FF7" w:rsidRDefault="003D4C3E">
                    <w:pPr>
                      <w:jc w:val="right"/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bCs/>
        <w:sz w:val="28"/>
        <w:szCs w:val="28"/>
      </w:rPr>
      <w:t>Tlačová správa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FF7"/>
    <w:rsid w:val="003D4C3E"/>
    <w:rsid w:val="0076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3D67"/>
  <w15:docId w15:val="{17459930-2E3A-4539-A009-D69F643E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60" w:line="276" w:lineRule="auto"/>
      <w:ind w:left="709"/>
    </w:pPr>
    <w:rPr>
      <w:rFonts w:ascii="SKODA Next Light" w:eastAsia="SKODA Next Light" w:hAnsi="SKODA Next Light" w:cs="SKODA Next Light"/>
      <w:color w:val="000000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pPr>
      <w:spacing w:after="60"/>
      <w:ind w:left="709"/>
    </w:pPr>
    <w:rPr>
      <w:rFonts w:ascii="SKODA Next Light" w:eastAsia="SKODA Next Light" w:hAnsi="SKODA Next Light" w:cs="SKODA Next Light"/>
      <w:color w:val="000000"/>
      <w:u w:color="000000"/>
    </w:rPr>
  </w:style>
  <w:style w:type="paragraph" w:styleId="Pta">
    <w:name w:val="footer"/>
    <w:pPr>
      <w:tabs>
        <w:tab w:val="right" w:pos="7938"/>
      </w:tabs>
      <w:spacing w:after="60" w:line="220" w:lineRule="atLeast"/>
      <w:ind w:left="709"/>
    </w:pPr>
    <w:rPr>
      <w:rFonts w:ascii="SKODA Next Light" w:eastAsia="SKODA Next Light" w:hAnsi="SKODA Next Light" w:cs="SKODA Next Light"/>
      <w:color w:val="000000"/>
      <w:sz w:val="13"/>
      <w:szCs w:val="13"/>
      <w:u w:color="000000"/>
    </w:rPr>
  </w:style>
  <w:style w:type="character" w:customStyle="1" w:styleId="iadneA">
    <w:name w:val="Žiadne A"/>
  </w:style>
  <w:style w:type="character" w:styleId="Vrazn">
    <w:name w:val="Strong"/>
    <w:rPr>
      <w:rFonts w:ascii="SKODA Next Light" w:eastAsia="SKODA Next Light" w:hAnsi="SKODA Next Light" w:cs="SKODA Next Light"/>
      <w:b/>
      <w:bCs/>
    </w:rPr>
  </w:style>
  <w:style w:type="paragraph" w:customStyle="1" w:styleId="Nadpismaly">
    <w:name w:val="Nadpis maly"/>
    <w:pPr>
      <w:spacing w:after="60" w:line="276" w:lineRule="auto"/>
      <w:ind w:left="709"/>
    </w:pPr>
    <w:rPr>
      <w:rFonts w:ascii="SKODA Next" w:eastAsia="SKODA Next" w:hAnsi="SKODA Next" w:cs="SKODA Next"/>
      <w:b/>
      <w:bCs/>
      <w:color w:val="000000"/>
      <w:u w:color="000000"/>
    </w:rPr>
  </w:style>
  <w:style w:type="character" w:customStyle="1" w:styleId="iadne">
    <w:name w:val="Žiadne"/>
  </w:style>
  <w:style w:type="character" w:customStyle="1" w:styleId="Hyperlink0">
    <w:name w:val="Hyperlink.0"/>
    <w:basedOn w:val="iadne"/>
    <w:rPr>
      <w:rFonts w:ascii="SKODA Next" w:eastAsia="SKODA Next" w:hAnsi="SKODA Next" w:cs="SKODA Next"/>
      <w:outline w:val="0"/>
      <w:color w:val="4BA82E"/>
      <w:u w:val="single" w:color="4BA82E"/>
    </w:rPr>
  </w:style>
  <w:style w:type="character" w:customStyle="1" w:styleId="Hyperlink1">
    <w:name w:val="Hyperlink.1"/>
    <w:basedOn w:val="iadne"/>
  </w:style>
  <w:style w:type="paragraph" w:customStyle="1" w:styleId="Nadpis2new">
    <w:name w:val="Nadpis 2 new"/>
    <w:pPr>
      <w:spacing w:after="60" w:line="276" w:lineRule="auto"/>
      <w:ind w:left="56"/>
    </w:pPr>
    <w:rPr>
      <w:rFonts w:ascii="SKODA Next Light" w:eastAsia="SKODA Next Light" w:hAnsi="SKODA Next Light" w:cs="SKODA Next Light"/>
      <w:color w:val="000000"/>
      <w:sz w:val="30"/>
      <w:szCs w:val="30"/>
      <w:u w:color="000000"/>
    </w:rPr>
  </w:style>
  <w:style w:type="paragraph" w:styleId="Bezriadkovania">
    <w:name w:val="No Spacing"/>
    <w:pPr>
      <w:spacing w:after="60" w:line="276" w:lineRule="auto"/>
      <w:ind w:left="709"/>
    </w:pPr>
    <w:rPr>
      <w:rFonts w:ascii="SKODA Next" w:eastAsia="SKODA Next" w:hAnsi="SKODA Next" w:cs="SKODA Next"/>
      <w:color w:val="000000"/>
      <w:sz w:val="18"/>
      <w:szCs w:val="18"/>
      <w:u w:color="000000"/>
    </w:rPr>
  </w:style>
  <w:style w:type="character" w:customStyle="1" w:styleId="Hyperlink2">
    <w:name w:val="Hyperlink.2"/>
    <w:basedOn w:val="iadne"/>
    <w:rPr>
      <w:rFonts w:ascii="SKODA Next" w:eastAsia="SKODA Next" w:hAnsi="SKODA Next" w:cs="SKODA Next"/>
      <w:outline w:val="0"/>
      <w:color w:val="4BA82E"/>
      <w:u w:val="single" w:color="4BA82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koda.cz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zuzana.kubikova2@skoda-auto.sk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ebapps.skoda-auto.sk/PR/MVSR_Kodiaq/MVSR_Kodiaq_2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instagram.com/skodacr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s://www.facebook.com/SkodaAutoSK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ebapps.skoda-auto.sk/PR/MVSR_Kodiaq/MVSR_Kodiaq_1.jp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Gajdos [PR CLINIC]</cp:lastModifiedBy>
  <cp:revision>2</cp:revision>
  <dcterms:created xsi:type="dcterms:W3CDTF">2023-04-04T07:21:00Z</dcterms:created>
  <dcterms:modified xsi:type="dcterms:W3CDTF">2023-04-04T07:24:00Z</dcterms:modified>
</cp:coreProperties>
</file>